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3C" w:rsidRDefault="0007770E">
      <w:pPr>
        <w:widowControl/>
        <w:tabs>
          <w:tab w:val="left" w:pos="3873"/>
          <w:tab w:val="left" w:pos="10153"/>
          <w:tab w:val="left" w:pos="11973"/>
        </w:tabs>
        <w:spacing w:after="0" w:line="56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附件1</w:t>
      </w:r>
    </w:p>
    <w:p w:rsidR="008B403C" w:rsidRDefault="008B403C">
      <w:pPr>
        <w:widowControl/>
        <w:tabs>
          <w:tab w:val="left" w:pos="3873"/>
          <w:tab w:val="left" w:pos="10153"/>
          <w:tab w:val="left" w:pos="11973"/>
        </w:tabs>
        <w:spacing w:after="0" w:line="560" w:lineRule="exact"/>
        <w:rPr>
          <w:rFonts w:ascii="黑体" w:eastAsia="黑体" w:hAnsi="黑体" w:cs="黑体"/>
          <w:color w:val="000000" w:themeColor="text1"/>
          <w:sz w:val="32"/>
          <w:szCs w:val="32"/>
        </w:rPr>
      </w:pPr>
    </w:p>
    <w:p w:rsidR="008B403C" w:rsidRDefault="0007770E">
      <w:pPr>
        <w:spacing w:after="0" w:line="56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AI+新商科智慧学习工场                         项目方案</w:t>
      </w:r>
    </w:p>
    <w:p w:rsidR="008B403C" w:rsidRDefault="0007770E">
      <w:pPr>
        <w:spacing w:after="0" w:line="560" w:lineRule="exact"/>
        <w:ind w:firstLineChars="200" w:firstLine="640"/>
        <w:jc w:val="both"/>
        <w:rPr>
          <w:rFonts w:ascii="仿宋_GB2312" w:eastAsia="仿宋_GB2312" w:hAnsi="仿宋_GB2312" w:cs="仿宋_GB2312"/>
          <w:color w:val="FF0000"/>
          <w:sz w:val="32"/>
          <w:szCs w:val="32"/>
        </w:rPr>
      </w:pPr>
      <w:r>
        <w:rPr>
          <w:rFonts w:ascii="仿宋_GB2312" w:eastAsia="仿宋_GB2312" w:hAnsi="仿宋_GB2312" w:cs="仿宋_GB2312" w:hint="eastAsia"/>
          <w:color w:val="000000" w:themeColor="text1"/>
          <w:sz w:val="32"/>
          <w:szCs w:val="32"/>
        </w:rPr>
        <w:t>本项目由教育部学校规划建设发展中心（以下简称“规建中心”）联合</w:t>
      </w:r>
      <w:proofErr w:type="gramStart"/>
      <w:r>
        <w:rPr>
          <w:rFonts w:ascii="仿宋_GB2312" w:eastAsia="仿宋_GB2312" w:hAnsi="仿宋_GB2312" w:cs="仿宋_GB2312" w:hint="eastAsia"/>
          <w:color w:val="000000" w:themeColor="text1"/>
          <w:sz w:val="32"/>
          <w:szCs w:val="32"/>
        </w:rPr>
        <w:t>清控紫荆国翼</w:t>
      </w:r>
      <w:proofErr w:type="gramEnd"/>
      <w:r>
        <w:rPr>
          <w:rFonts w:ascii="仿宋_GB2312" w:eastAsia="仿宋_GB2312" w:hAnsi="仿宋_GB2312" w:cs="仿宋_GB2312" w:hint="eastAsia"/>
          <w:color w:val="000000" w:themeColor="text1"/>
          <w:sz w:val="32"/>
          <w:szCs w:val="32"/>
        </w:rPr>
        <w:t>（北京）科技有限公司发起，是深入贯彻国家“人工智能+”行动、驱动新商科</w:t>
      </w:r>
      <w:proofErr w:type="gramStart"/>
      <w:r>
        <w:rPr>
          <w:rFonts w:ascii="仿宋_GB2312" w:eastAsia="仿宋_GB2312" w:hAnsi="仿宋_GB2312" w:cs="仿宋_GB2312" w:hint="eastAsia"/>
          <w:color w:val="000000" w:themeColor="text1"/>
          <w:sz w:val="32"/>
          <w:szCs w:val="32"/>
        </w:rPr>
        <w:t>教育数智化</w:t>
      </w:r>
      <w:proofErr w:type="gramEnd"/>
      <w:r>
        <w:rPr>
          <w:rFonts w:ascii="仿宋_GB2312" w:eastAsia="仿宋_GB2312" w:hAnsi="仿宋_GB2312" w:cs="仿宋_GB2312" w:hint="eastAsia"/>
          <w:color w:val="000000" w:themeColor="text1"/>
          <w:sz w:val="32"/>
          <w:szCs w:val="32"/>
        </w:rPr>
        <w:t>转型的创新实践。项目坚持产教深度融合，通过导入工业级AI算法、真实商业业务逻辑</w:t>
      </w:r>
      <w:proofErr w:type="gramStart"/>
      <w:r>
        <w:rPr>
          <w:rFonts w:ascii="仿宋_GB2312" w:eastAsia="仿宋_GB2312" w:hAnsi="仿宋_GB2312" w:cs="仿宋_GB2312" w:hint="eastAsia"/>
          <w:color w:val="000000" w:themeColor="text1"/>
          <w:sz w:val="32"/>
          <w:szCs w:val="32"/>
        </w:rPr>
        <w:t>与数智化</w:t>
      </w:r>
      <w:proofErr w:type="gramEnd"/>
      <w:r>
        <w:rPr>
          <w:rFonts w:ascii="仿宋_GB2312" w:eastAsia="仿宋_GB2312" w:hAnsi="仿宋_GB2312" w:cs="仿宋_GB2312" w:hint="eastAsia"/>
          <w:color w:val="000000" w:themeColor="text1"/>
          <w:sz w:val="32"/>
          <w:szCs w:val="32"/>
        </w:rPr>
        <w:t>教学底座，系统构建集“教学、实训、研发、服务”于一体的</w:t>
      </w:r>
      <w:r>
        <w:rPr>
          <w:rFonts w:ascii="仿宋_GB2312" w:eastAsia="仿宋_GB2312" w:hAnsi="仿宋_GB2312" w:cs="仿宋_GB2312" w:hint="eastAsia"/>
          <w:sz w:val="32"/>
          <w:szCs w:val="32"/>
        </w:rPr>
        <w:t>新商科</w:t>
      </w:r>
      <w:proofErr w:type="gramStart"/>
      <w:r>
        <w:rPr>
          <w:rFonts w:ascii="仿宋_GB2312" w:eastAsia="仿宋_GB2312" w:hAnsi="仿宋_GB2312" w:cs="仿宋_GB2312" w:hint="eastAsia"/>
          <w:sz w:val="32"/>
          <w:szCs w:val="32"/>
        </w:rPr>
        <w:t>数智化产</w:t>
      </w:r>
      <w:proofErr w:type="gramEnd"/>
      <w:r>
        <w:rPr>
          <w:rFonts w:ascii="仿宋_GB2312" w:eastAsia="仿宋_GB2312" w:hAnsi="仿宋_GB2312" w:cs="仿宋_GB2312" w:hint="eastAsia"/>
          <w:sz w:val="32"/>
          <w:szCs w:val="32"/>
        </w:rPr>
        <w:t>教融合协同育人体系，赋能新</w:t>
      </w:r>
      <w:r>
        <w:rPr>
          <w:rFonts w:ascii="仿宋_GB2312" w:eastAsia="仿宋_GB2312" w:hAnsi="仿宋_GB2312" w:cs="仿宋_GB2312" w:hint="eastAsia"/>
          <w:color w:val="000000" w:themeColor="text1"/>
          <w:sz w:val="32"/>
          <w:szCs w:val="32"/>
        </w:rPr>
        <w:t>质生产力高质量发展。</w:t>
      </w:r>
    </w:p>
    <w:p w:rsidR="008B403C" w:rsidRDefault="0007770E">
      <w:pPr>
        <w:spacing w:after="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一、项目背景</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为贯彻落实教育部“国家教育数字化战略行动2.0”部署要求，充分发挥智能化作为驱动教育高质量发展的核心引擎作用，深入推进“人工智能+”与教育教学全要素的深度融合，通过建设高水平</w:t>
      </w:r>
      <w:proofErr w:type="gramStart"/>
      <w:r>
        <w:rPr>
          <w:rFonts w:ascii="仿宋_GB2312" w:eastAsia="仿宋_GB2312" w:hAnsi="仿宋_GB2312" w:cs="仿宋_GB2312" w:hint="eastAsia"/>
          <w:color w:val="000000" w:themeColor="text1"/>
          <w:sz w:val="32"/>
          <w:szCs w:val="32"/>
        </w:rPr>
        <w:t>数智化产</w:t>
      </w:r>
      <w:proofErr w:type="gramEnd"/>
      <w:r>
        <w:rPr>
          <w:rFonts w:ascii="仿宋_GB2312" w:eastAsia="仿宋_GB2312" w:hAnsi="仿宋_GB2312" w:cs="仿宋_GB2312" w:hint="eastAsia"/>
          <w:color w:val="000000" w:themeColor="text1"/>
          <w:sz w:val="32"/>
          <w:szCs w:val="32"/>
        </w:rPr>
        <w:t>教融合基地，提升学生数字胜任力与创新思维，为新质生产力提供智力支撑。</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数字经济持续深化背景下，商业逻辑由“信息化”跨越至“智能化”，商科领域人才供需结构性矛盾日益凸显。一方面，企业对具备数据分析、智能决策、人机协同能力的复合型人才需求快速增长；另一方面，传统商科人才培养仍以单一专业知识为主，难以匹配企业对“懂业务、会数据、能用AI</w:t>
      </w:r>
      <w:r w:rsidR="00F541FB">
        <w:rPr>
          <w:rFonts w:ascii="仿宋_GB2312" w:eastAsia="仿宋_GB2312" w:hAnsi="仿宋_GB2312" w:cs="仿宋_GB2312" w:hint="eastAsia"/>
          <w:color w:val="000000" w:themeColor="text1"/>
          <w:sz w:val="32"/>
          <w:szCs w:val="32"/>
        </w:rPr>
        <w:t>”的岗位要求。</w:t>
      </w:r>
      <w:bookmarkStart w:id="0" w:name="_GoBack"/>
      <w:bookmarkEnd w:id="0"/>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面对人机协同、智能决策的核心岗位需求，新商科内涵</w:t>
      </w:r>
      <w:r>
        <w:rPr>
          <w:rFonts w:ascii="仿宋_GB2312" w:eastAsia="仿宋_GB2312" w:hAnsi="仿宋_GB2312" w:cs="仿宋_GB2312" w:hint="eastAsia"/>
          <w:color w:val="000000" w:themeColor="text1"/>
          <w:sz w:val="32"/>
          <w:szCs w:val="32"/>
        </w:rPr>
        <w:lastRenderedPageBreak/>
        <w:t>需向“商科素养+AI应用+数据驱动”的三角结构转型，高校人才培养目标应由知识传授向“数智化问题解决能力”转变。因此，运用AI 技术推动教学</w:t>
      </w:r>
      <w:proofErr w:type="gramStart"/>
      <w:r>
        <w:rPr>
          <w:rFonts w:ascii="仿宋_GB2312" w:eastAsia="仿宋_GB2312" w:hAnsi="仿宋_GB2312" w:cs="仿宋_GB2312" w:hint="eastAsia"/>
          <w:color w:val="000000" w:themeColor="text1"/>
          <w:sz w:val="32"/>
          <w:szCs w:val="32"/>
        </w:rPr>
        <w:t>资源数智化</w:t>
      </w:r>
      <w:proofErr w:type="gramEnd"/>
      <w:r>
        <w:rPr>
          <w:rFonts w:ascii="仿宋_GB2312" w:eastAsia="仿宋_GB2312" w:hAnsi="仿宋_GB2312" w:cs="仿宋_GB2312" w:hint="eastAsia"/>
          <w:color w:val="000000" w:themeColor="text1"/>
          <w:sz w:val="32"/>
          <w:szCs w:val="32"/>
        </w:rPr>
        <w:t>、过程</w:t>
      </w:r>
      <w:proofErr w:type="gramStart"/>
      <w:r>
        <w:rPr>
          <w:rFonts w:ascii="仿宋_GB2312" w:eastAsia="仿宋_GB2312" w:hAnsi="仿宋_GB2312" w:cs="仿宋_GB2312" w:hint="eastAsia"/>
          <w:color w:val="000000" w:themeColor="text1"/>
          <w:sz w:val="32"/>
          <w:szCs w:val="32"/>
        </w:rPr>
        <w:t>白盒化</w:t>
      </w:r>
      <w:proofErr w:type="gramEnd"/>
      <w:r>
        <w:rPr>
          <w:rFonts w:ascii="仿宋_GB2312" w:eastAsia="仿宋_GB2312" w:hAnsi="仿宋_GB2312" w:cs="仿宋_GB2312" w:hint="eastAsia"/>
          <w:color w:val="000000" w:themeColor="text1"/>
          <w:sz w:val="32"/>
          <w:szCs w:val="32"/>
        </w:rPr>
        <w:t>与评价精准化，构建面向</w:t>
      </w:r>
      <w:proofErr w:type="gramStart"/>
      <w:r>
        <w:rPr>
          <w:rFonts w:ascii="仿宋_GB2312" w:eastAsia="仿宋_GB2312" w:hAnsi="仿宋_GB2312" w:cs="仿宋_GB2312" w:hint="eastAsia"/>
          <w:color w:val="000000" w:themeColor="text1"/>
          <w:sz w:val="32"/>
          <w:szCs w:val="32"/>
        </w:rPr>
        <w:t>真实业务</w:t>
      </w:r>
      <w:proofErr w:type="gramEnd"/>
      <w:r>
        <w:rPr>
          <w:rFonts w:ascii="仿宋_GB2312" w:eastAsia="仿宋_GB2312" w:hAnsi="仿宋_GB2312" w:cs="仿宋_GB2312" w:hint="eastAsia"/>
          <w:color w:val="000000" w:themeColor="text1"/>
          <w:sz w:val="32"/>
          <w:szCs w:val="32"/>
        </w:rPr>
        <w:t>场景的新商科人才培养体系，已成为高校服务产业升级与提升就业质量的关键抓手。</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基于政策导向、产业重构与教育模式变革的三重逻辑，本项目旨在打造全链路、可进化的智慧学习工场，破解技术脱节与场景虚化痛点，实现教育链、人才链与产业链、创新链的深度耦合，重塑新商科人才培养范式，为高校提供可复制、可进化</w:t>
      </w:r>
      <w:proofErr w:type="gramStart"/>
      <w:r>
        <w:rPr>
          <w:rFonts w:ascii="仿宋_GB2312" w:eastAsia="仿宋_GB2312" w:hAnsi="仿宋_GB2312" w:cs="仿宋_GB2312" w:hint="eastAsia"/>
          <w:color w:val="000000" w:themeColor="text1"/>
          <w:sz w:val="32"/>
          <w:szCs w:val="32"/>
        </w:rPr>
        <w:t>的数智化</w:t>
      </w:r>
      <w:proofErr w:type="gramEnd"/>
      <w:r>
        <w:rPr>
          <w:rFonts w:ascii="仿宋_GB2312" w:eastAsia="仿宋_GB2312" w:hAnsi="仿宋_GB2312" w:cs="仿宋_GB2312" w:hint="eastAsia"/>
          <w:color w:val="000000" w:themeColor="text1"/>
          <w:sz w:val="32"/>
          <w:szCs w:val="32"/>
        </w:rPr>
        <w:t>转型方案。</w:t>
      </w:r>
    </w:p>
    <w:p w:rsidR="008B403C" w:rsidRDefault="0007770E">
      <w:pPr>
        <w:spacing w:after="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二、项目目标</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通过3—5年的系统化建设，达成以下核心目标：</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（一）育人目标：</w:t>
      </w:r>
      <w:proofErr w:type="gramStart"/>
      <w:r>
        <w:rPr>
          <w:rFonts w:ascii="楷体" w:eastAsia="楷体" w:hAnsi="楷体" w:cs="楷体" w:hint="eastAsia"/>
          <w:b/>
          <w:bCs/>
          <w:color w:val="000000" w:themeColor="text1"/>
          <w:sz w:val="32"/>
          <w:szCs w:val="32"/>
        </w:rPr>
        <w:t>构建数智化人才</w:t>
      </w:r>
      <w:proofErr w:type="gramEnd"/>
      <w:r>
        <w:rPr>
          <w:rFonts w:ascii="楷体" w:eastAsia="楷体" w:hAnsi="楷体" w:cs="楷体" w:hint="eastAsia"/>
          <w:b/>
          <w:bCs/>
          <w:color w:val="000000" w:themeColor="text1"/>
          <w:sz w:val="32"/>
          <w:szCs w:val="32"/>
        </w:rPr>
        <w:t>培养体系</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面向数字营销、智能运营、数据分析、供应链管理、智能财务等岗位群，培养具备“商科素养+AI应用+数据驱动”能力，兼具业务理解能力、数据建模与分析能力、AI工具应用能力及智能决策能力的复合型人才。</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（二）标准目标：形成AI+新商科教学样板</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依托AI大模型建立</w:t>
      </w:r>
      <w:proofErr w:type="gramStart"/>
      <w:r>
        <w:rPr>
          <w:rFonts w:ascii="仿宋_GB2312" w:eastAsia="仿宋_GB2312" w:hAnsi="仿宋_GB2312" w:cs="仿宋_GB2312" w:hint="eastAsia"/>
          <w:color w:val="000000" w:themeColor="text1"/>
          <w:sz w:val="32"/>
          <w:szCs w:val="32"/>
        </w:rPr>
        <w:t>数智资源</w:t>
      </w:r>
      <w:proofErr w:type="gramEnd"/>
      <w:r>
        <w:rPr>
          <w:rFonts w:ascii="仿宋_GB2312" w:eastAsia="仿宋_GB2312" w:hAnsi="仿宋_GB2312" w:cs="仿宋_GB2312" w:hint="eastAsia"/>
          <w:color w:val="000000" w:themeColor="text1"/>
          <w:sz w:val="32"/>
          <w:szCs w:val="32"/>
        </w:rPr>
        <w:t>库与精准评价体系，输出一套资源共创、过程共管、成果共享的可复制AI+新商科教学样板。</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（三）赋能目标：支撑区域经济高质量发展</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使项目成为区域数智人才孵化与企业技术服务的关键支撑，助力地方产业数字化转型，实现产教协同进化。</w:t>
      </w:r>
    </w:p>
    <w:p w:rsidR="008B403C" w:rsidRDefault="0007770E">
      <w:pPr>
        <w:spacing w:after="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三、建设内容</w:t>
      </w:r>
    </w:p>
    <w:p w:rsidR="008B403C" w:rsidRDefault="0007770E">
      <w:pPr>
        <w:spacing w:after="0" w:line="560" w:lineRule="exact"/>
        <w:ind w:firstLineChars="200" w:firstLine="640"/>
        <w:jc w:val="both"/>
        <w:rPr>
          <w:rFonts w:ascii="Times New Roman" w:eastAsia="仿宋_GB2312" w:hAnsi="Times New Roman" w:cs="仿宋_GB2312"/>
          <w:sz w:val="32"/>
          <w:szCs w:val="32"/>
        </w:rPr>
      </w:pPr>
      <w:r>
        <w:rPr>
          <w:rFonts w:ascii="仿宋_GB2312" w:eastAsia="仿宋_GB2312" w:hAnsi="仿宋_GB2312" w:cs="仿宋_GB2312" w:hint="eastAsia"/>
          <w:sz w:val="32"/>
          <w:szCs w:val="32"/>
        </w:rPr>
        <w:t>项目建设内容将对标教育部发布的《普通高等学校本科专业目录（2025年）》和《职业教育专业目录（2021年）》，普通本科学科门类面向经济学和管理学；高等职业教育面向财经商贸大类和公共管理与服务大类，实施精准化建设。</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（一）赋能专业（群）建设</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普通本科：聚焦战略洞察</w:t>
      </w:r>
      <w:proofErr w:type="gramStart"/>
      <w:r>
        <w:rPr>
          <w:rFonts w:ascii="仿宋_GB2312" w:eastAsia="仿宋_GB2312" w:hAnsi="仿宋_GB2312" w:cs="仿宋_GB2312" w:hint="eastAsia"/>
          <w:color w:val="000000" w:themeColor="text1"/>
          <w:sz w:val="32"/>
          <w:szCs w:val="32"/>
        </w:rPr>
        <w:t>与数智决策</w:t>
      </w:r>
      <w:proofErr w:type="gramEnd"/>
      <w:r>
        <w:rPr>
          <w:rFonts w:ascii="仿宋_GB2312" w:eastAsia="仿宋_GB2312" w:hAnsi="仿宋_GB2312" w:cs="仿宋_GB2312" w:hint="eastAsia"/>
          <w:color w:val="000000" w:themeColor="text1"/>
          <w:sz w:val="32"/>
          <w:szCs w:val="32"/>
        </w:rPr>
        <w:t>，依托项目，强化跨学科交叉融合，重点培养学生在复杂商业环境下的底层逻辑理解能力、</w:t>
      </w:r>
      <w:proofErr w:type="gramStart"/>
      <w:r>
        <w:rPr>
          <w:rFonts w:ascii="仿宋_GB2312" w:eastAsia="仿宋_GB2312" w:hAnsi="仿宋_GB2312" w:cs="仿宋_GB2312" w:hint="eastAsia"/>
          <w:color w:val="000000" w:themeColor="text1"/>
          <w:sz w:val="32"/>
          <w:szCs w:val="32"/>
        </w:rPr>
        <w:t>数智建模</w:t>
      </w:r>
      <w:proofErr w:type="gramEnd"/>
      <w:r>
        <w:rPr>
          <w:rFonts w:ascii="仿宋_GB2312" w:eastAsia="仿宋_GB2312" w:hAnsi="仿宋_GB2312" w:cs="仿宋_GB2312" w:hint="eastAsia"/>
          <w:color w:val="000000" w:themeColor="text1"/>
          <w:sz w:val="32"/>
          <w:szCs w:val="32"/>
        </w:rPr>
        <w:t>能力及战略决策胜任力，实现由传统经验驱动向算法辅助决策的变革。</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职业教育：聚焦工具驾驭</w:t>
      </w:r>
      <w:proofErr w:type="gramStart"/>
      <w:r>
        <w:rPr>
          <w:rFonts w:ascii="仿宋_GB2312" w:eastAsia="仿宋_GB2312" w:hAnsi="仿宋_GB2312" w:cs="仿宋_GB2312" w:hint="eastAsia"/>
          <w:color w:val="000000" w:themeColor="text1"/>
          <w:sz w:val="32"/>
          <w:szCs w:val="32"/>
        </w:rPr>
        <w:t>与数智执行</w:t>
      </w:r>
      <w:proofErr w:type="gramEnd"/>
      <w:r>
        <w:rPr>
          <w:rFonts w:ascii="仿宋_GB2312" w:eastAsia="仿宋_GB2312" w:hAnsi="仿宋_GB2312" w:cs="仿宋_GB2312" w:hint="eastAsia"/>
          <w:color w:val="000000" w:themeColor="text1"/>
          <w:sz w:val="32"/>
          <w:szCs w:val="32"/>
        </w:rPr>
        <w:t>，通过导入真实商业业务逻辑，实施“产教深度融合”的岗位对标培养，训练学生对AIGC工具、</w:t>
      </w:r>
      <w:proofErr w:type="gramStart"/>
      <w:r>
        <w:rPr>
          <w:rFonts w:ascii="仿宋_GB2312" w:eastAsia="仿宋_GB2312" w:hAnsi="仿宋_GB2312" w:cs="仿宋_GB2312" w:hint="eastAsia"/>
          <w:color w:val="000000" w:themeColor="text1"/>
          <w:sz w:val="32"/>
          <w:szCs w:val="32"/>
        </w:rPr>
        <w:t>数智化</w:t>
      </w:r>
      <w:proofErr w:type="gramEnd"/>
      <w:r>
        <w:rPr>
          <w:rFonts w:ascii="仿宋_GB2312" w:eastAsia="仿宋_GB2312" w:hAnsi="仿宋_GB2312" w:cs="仿宋_GB2312" w:hint="eastAsia"/>
          <w:color w:val="000000" w:themeColor="text1"/>
          <w:sz w:val="32"/>
          <w:szCs w:val="32"/>
        </w:rPr>
        <w:t>营销底座及智能供应链平台的驾驭能力，确保人才产出精准</w:t>
      </w:r>
      <w:proofErr w:type="gramStart"/>
      <w:r>
        <w:rPr>
          <w:rFonts w:ascii="仿宋_GB2312" w:eastAsia="仿宋_GB2312" w:hAnsi="仿宋_GB2312" w:cs="仿宋_GB2312" w:hint="eastAsia"/>
          <w:color w:val="000000" w:themeColor="text1"/>
          <w:sz w:val="32"/>
          <w:szCs w:val="32"/>
        </w:rPr>
        <w:t>匹配数智化</w:t>
      </w:r>
      <w:proofErr w:type="gramEnd"/>
      <w:r>
        <w:rPr>
          <w:rFonts w:ascii="仿宋_GB2312" w:eastAsia="仿宋_GB2312" w:hAnsi="仿宋_GB2312" w:cs="仿宋_GB2312" w:hint="eastAsia"/>
          <w:color w:val="000000" w:themeColor="text1"/>
          <w:sz w:val="32"/>
          <w:szCs w:val="32"/>
        </w:rPr>
        <w:t>转型企业的核心操作岗位需求。</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（二）创新人才培养模式</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实施“项目制、导师制、实战驱动”的科教</w:t>
      </w:r>
      <w:proofErr w:type="gramStart"/>
      <w:r>
        <w:rPr>
          <w:rFonts w:ascii="仿宋_GB2312" w:eastAsia="仿宋_GB2312" w:hAnsi="仿宋_GB2312" w:cs="仿宋_GB2312" w:hint="eastAsia"/>
          <w:color w:val="000000" w:themeColor="text1"/>
          <w:sz w:val="32"/>
          <w:szCs w:val="32"/>
        </w:rPr>
        <w:t>融汇</w:t>
      </w:r>
      <w:proofErr w:type="gramEnd"/>
      <w:r>
        <w:rPr>
          <w:rFonts w:ascii="仿宋_GB2312" w:eastAsia="仿宋_GB2312" w:hAnsi="仿宋_GB2312" w:cs="仿宋_GB2312" w:hint="eastAsia"/>
          <w:color w:val="000000" w:themeColor="text1"/>
          <w:sz w:val="32"/>
          <w:szCs w:val="32"/>
        </w:rPr>
        <w:t>模式。将企业岗位标准、AI行业认证（如AIGC应用等级）深度融入课程；开展“超常规项目制”培养，选拔学生参与企业真实营销或数据分析项目，实现“学习即实战”。</w:t>
      </w:r>
    </w:p>
    <w:p w:rsidR="008B403C" w:rsidRDefault="0007770E">
      <w:pPr>
        <w:spacing w:after="0" w:line="560" w:lineRule="exact"/>
        <w:ind w:firstLineChars="200" w:firstLine="643"/>
        <w:jc w:val="both"/>
        <w:rPr>
          <w:rFonts w:ascii="仿宋_GB2312" w:eastAsia="仿宋_GB2312" w:hAnsi="仿宋_GB2312" w:cs="仿宋_GB2312"/>
          <w:color w:val="000000" w:themeColor="text1"/>
          <w:sz w:val="32"/>
          <w:szCs w:val="32"/>
        </w:rPr>
      </w:pPr>
      <w:r>
        <w:rPr>
          <w:rFonts w:ascii="楷体" w:eastAsia="楷体" w:hAnsi="楷体" w:cs="楷体" w:hint="eastAsia"/>
          <w:b/>
          <w:bCs/>
          <w:color w:val="000000" w:themeColor="text1"/>
          <w:sz w:val="32"/>
          <w:szCs w:val="32"/>
        </w:rPr>
        <w:t>（三）开放实践教学体系</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1.建设“编－版－学－测－评”</w:t>
      </w:r>
      <w:proofErr w:type="gramStart"/>
      <w:r>
        <w:rPr>
          <w:rFonts w:ascii="仿宋_GB2312" w:eastAsia="仿宋_GB2312" w:hAnsi="仿宋_GB2312" w:cs="仿宋_GB2312" w:hint="eastAsia"/>
          <w:color w:val="000000" w:themeColor="text1"/>
          <w:sz w:val="32"/>
          <w:szCs w:val="32"/>
        </w:rPr>
        <w:t>数智教学</w:t>
      </w:r>
      <w:proofErr w:type="gramEnd"/>
      <w:r>
        <w:rPr>
          <w:rFonts w:ascii="仿宋_GB2312" w:eastAsia="仿宋_GB2312" w:hAnsi="仿宋_GB2312" w:cs="仿宋_GB2312" w:hint="eastAsia"/>
          <w:color w:val="000000" w:themeColor="text1"/>
          <w:sz w:val="32"/>
          <w:szCs w:val="32"/>
        </w:rPr>
        <w:t>底座：依托</w:t>
      </w:r>
      <w:proofErr w:type="gramStart"/>
      <w:r>
        <w:rPr>
          <w:rFonts w:ascii="仿宋_GB2312" w:eastAsia="仿宋_GB2312" w:hAnsi="仿宋_GB2312" w:cs="仿宋_GB2312" w:hint="eastAsia"/>
          <w:color w:val="000000" w:themeColor="text1"/>
          <w:sz w:val="32"/>
          <w:szCs w:val="32"/>
        </w:rPr>
        <w:t>紫荆数智学堂</w:t>
      </w:r>
      <w:proofErr w:type="gramEnd"/>
      <w:r>
        <w:rPr>
          <w:rFonts w:ascii="仿宋_GB2312" w:eastAsia="仿宋_GB2312" w:hAnsi="仿宋_GB2312" w:cs="仿宋_GB2312" w:hint="eastAsia"/>
          <w:color w:val="000000" w:themeColor="text1"/>
          <w:sz w:val="32"/>
          <w:szCs w:val="32"/>
        </w:rPr>
        <w:t>，构建融合知识图谱与AI数字人的数字教材环境。打破传统线性教学，实现全流程学习行为数据的实时采</w:t>
      </w:r>
      <w:r>
        <w:rPr>
          <w:rFonts w:ascii="仿宋_GB2312" w:eastAsia="仿宋_GB2312" w:hAnsi="仿宋_GB2312" w:cs="仿宋_GB2312" w:hint="eastAsia"/>
          <w:color w:val="000000" w:themeColor="text1"/>
          <w:sz w:val="32"/>
          <w:szCs w:val="32"/>
        </w:rPr>
        <w:lastRenderedPageBreak/>
        <w:t>集与精准评价，为后续实践提供个性化的知识支撑。</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2.建设AI通</w:t>
      </w:r>
      <w:proofErr w:type="gramStart"/>
      <w:r>
        <w:rPr>
          <w:rFonts w:ascii="仿宋_GB2312" w:eastAsia="仿宋_GB2312" w:hAnsi="仿宋_GB2312" w:cs="仿宋_GB2312" w:hint="eastAsia"/>
          <w:color w:val="000000" w:themeColor="text1"/>
          <w:sz w:val="32"/>
          <w:szCs w:val="32"/>
        </w:rPr>
        <w:t>识应用实</w:t>
      </w:r>
      <w:proofErr w:type="gramEnd"/>
      <w:r>
        <w:rPr>
          <w:rFonts w:ascii="仿宋_GB2312" w:eastAsia="仿宋_GB2312" w:hAnsi="仿宋_GB2312" w:cs="仿宋_GB2312" w:hint="eastAsia"/>
          <w:color w:val="000000" w:themeColor="text1"/>
          <w:sz w:val="32"/>
          <w:szCs w:val="32"/>
        </w:rPr>
        <w:t>训中心：聚焦AI生产力工具的普及，重点训练提示词工程、文本/图文/视频智能生成以及智慧办公应用。通过阶梯式案例，培养学生在商业办公中的“人机协同”基本素养。</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3.建设工业级数据智能仿真实验室：部署“白盒化”数据分析平台，涵盖数据治理、挖掘建模及可视化分析。通过电商、金融等真实数据集，让学生在理解算法底层逻辑的基础上，进行商业建模与决策仿真。</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4.建设AIGC数字化营销实战基地：对接名</w:t>
      </w:r>
      <w:proofErr w:type="gramStart"/>
      <w:r>
        <w:rPr>
          <w:rFonts w:ascii="仿宋_GB2312" w:eastAsia="仿宋_GB2312" w:hAnsi="仿宋_GB2312" w:cs="仿宋_GB2312" w:hint="eastAsia"/>
          <w:color w:val="000000" w:themeColor="text1"/>
          <w:sz w:val="32"/>
          <w:szCs w:val="32"/>
        </w:rPr>
        <w:t>企真实业务</w:t>
      </w:r>
      <w:proofErr w:type="gramEnd"/>
      <w:r>
        <w:rPr>
          <w:rFonts w:ascii="仿宋_GB2312" w:eastAsia="仿宋_GB2312" w:hAnsi="仿宋_GB2312" w:cs="仿宋_GB2312" w:hint="eastAsia"/>
          <w:color w:val="000000" w:themeColor="text1"/>
          <w:sz w:val="32"/>
          <w:szCs w:val="32"/>
        </w:rPr>
        <w:t>场景，开展营销自动化、AI直播运营等全链路实战。在合法合</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前提下，实现教学过程与企业真实的生产流程、营销策略动态对接。</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（四）师资队伍建设</w:t>
      </w:r>
      <w:bookmarkStart w:id="1" w:name="_Toc223706473"/>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打造“双栖化”</w:t>
      </w:r>
      <w:proofErr w:type="gramStart"/>
      <w:r>
        <w:rPr>
          <w:rFonts w:ascii="仿宋_GB2312" w:eastAsia="仿宋_GB2312" w:hAnsi="仿宋_GB2312" w:cs="仿宋_GB2312" w:hint="eastAsia"/>
          <w:color w:val="000000" w:themeColor="text1"/>
          <w:sz w:val="32"/>
          <w:szCs w:val="32"/>
        </w:rPr>
        <w:t>数智教学</w:t>
      </w:r>
      <w:proofErr w:type="gramEnd"/>
      <w:r>
        <w:rPr>
          <w:rFonts w:ascii="仿宋_GB2312" w:eastAsia="仿宋_GB2312" w:hAnsi="仿宋_GB2312" w:cs="仿宋_GB2312" w:hint="eastAsia"/>
          <w:color w:val="000000" w:themeColor="text1"/>
          <w:sz w:val="32"/>
          <w:szCs w:val="32"/>
        </w:rPr>
        <w:t>师资团队。依托“教授主导、项目牵引、产业专家加盟”的混编模式，建立专业教师企业挂职研修刚性机制，确保教学力量深度参与工业</w:t>
      </w:r>
      <w:proofErr w:type="gramStart"/>
      <w:r>
        <w:rPr>
          <w:rFonts w:ascii="仿宋_GB2312" w:eastAsia="仿宋_GB2312" w:hAnsi="仿宋_GB2312" w:cs="仿宋_GB2312" w:hint="eastAsia"/>
          <w:color w:val="000000" w:themeColor="text1"/>
          <w:sz w:val="32"/>
          <w:szCs w:val="32"/>
        </w:rPr>
        <w:t>级真实</w:t>
      </w:r>
      <w:proofErr w:type="gramEnd"/>
      <w:r>
        <w:rPr>
          <w:rFonts w:ascii="仿宋_GB2312" w:eastAsia="仿宋_GB2312" w:hAnsi="仿宋_GB2312" w:cs="仿宋_GB2312" w:hint="eastAsia"/>
          <w:color w:val="000000" w:themeColor="text1"/>
          <w:sz w:val="32"/>
          <w:szCs w:val="32"/>
        </w:rPr>
        <w:t>工程项目。通过校内教师与产业专家联合组建攻关团队，共同开发颗粒化教材与工程化课程，实现教学资源与产业技术同步进化。同时，由项目组定期组织高水平数智能力专项培训，聚焦AI大模型应用与大数据决策建模，系统提升教师的数字化素养与实战指导水平，构筑产教协同育人的智力核心。</w:t>
      </w:r>
    </w:p>
    <w:p w:rsidR="008B403C" w:rsidRDefault="0007770E">
      <w:pPr>
        <w:spacing w:after="0" w:line="560" w:lineRule="exact"/>
        <w:ind w:firstLineChars="200" w:firstLine="640"/>
        <w:jc w:val="both"/>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四、建设步骤</w:t>
      </w:r>
      <w:bookmarkEnd w:id="1"/>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本项目采用“常态化申报、分批次建设、动态化管理”</w:t>
      </w:r>
      <w:r>
        <w:rPr>
          <w:rFonts w:ascii="仿宋_GB2312" w:eastAsia="仿宋_GB2312" w:hAnsi="仿宋_GB2312" w:cs="仿宋_GB2312" w:hint="eastAsia"/>
          <w:color w:val="000000" w:themeColor="text1"/>
          <w:sz w:val="32"/>
          <w:szCs w:val="32"/>
        </w:rPr>
        <w:lastRenderedPageBreak/>
        <w:t>机制。</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bookmarkStart w:id="2" w:name="_Toc223706474"/>
      <w:r>
        <w:rPr>
          <w:rFonts w:ascii="楷体" w:eastAsia="楷体" w:hAnsi="楷体" w:cs="楷体" w:hint="eastAsia"/>
          <w:b/>
          <w:bCs/>
          <w:color w:val="000000" w:themeColor="text1"/>
          <w:sz w:val="32"/>
          <w:szCs w:val="32"/>
        </w:rPr>
        <w:t>（一）申报</w:t>
      </w:r>
      <w:bookmarkEnd w:id="2"/>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建中心面向全国高校发布项目方案，项目意向院校依据自身基础与区域产业需求提交申报材料。</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bookmarkStart w:id="3" w:name="_Toc223706475"/>
      <w:r>
        <w:rPr>
          <w:rFonts w:ascii="楷体" w:eastAsia="楷体" w:hAnsi="楷体" w:cs="楷体" w:hint="eastAsia"/>
          <w:b/>
          <w:bCs/>
          <w:color w:val="000000" w:themeColor="text1"/>
          <w:sz w:val="32"/>
          <w:szCs w:val="32"/>
        </w:rPr>
        <w:t>（二）</w:t>
      </w:r>
      <w:bookmarkEnd w:id="3"/>
      <w:r>
        <w:rPr>
          <w:rFonts w:ascii="楷体" w:eastAsia="楷体" w:hAnsi="楷体" w:cs="楷体" w:hint="eastAsia"/>
          <w:b/>
          <w:bCs/>
          <w:color w:val="000000" w:themeColor="text1"/>
          <w:sz w:val="32"/>
          <w:szCs w:val="32"/>
        </w:rPr>
        <w:t>审核</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proofErr w:type="gramStart"/>
      <w:r>
        <w:rPr>
          <w:rFonts w:ascii="Times New Roman" w:eastAsia="仿宋_GB2312" w:hAnsi="Times New Roman" w:cs="仿宋_GB2312" w:hint="eastAsia"/>
          <w:sz w:val="32"/>
          <w:szCs w:val="32"/>
        </w:rPr>
        <w:t>规</w:t>
      </w:r>
      <w:proofErr w:type="gramEnd"/>
      <w:r>
        <w:rPr>
          <w:rFonts w:ascii="Times New Roman" w:eastAsia="仿宋_GB2312" w:hAnsi="Times New Roman" w:cs="仿宋_GB2312" w:hint="eastAsia"/>
          <w:sz w:val="32"/>
          <w:szCs w:val="32"/>
        </w:rPr>
        <w:t>建</w:t>
      </w:r>
      <w:r>
        <w:rPr>
          <w:rFonts w:ascii="Times New Roman" w:eastAsia="仿宋_GB2312" w:hAnsi="Times New Roman" w:cs="Times New Roman" w:hint="eastAsia"/>
          <w:sz w:val="32"/>
          <w:szCs w:val="32"/>
        </w:rPr>
        <w:t>中心将根据项目实际申报情况，按照“自主申报、资源对接、方案优化”的原则确定建设院校。</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bookmarkStart w:id="4" w:name="_Toc223706476"/>
      <w:r>
        <w:rPr>
          <w:rFonts w:ascii="楷体" w:eastAsia="楷体" w:hAnsi="楷体" w:cs="楷体" w:hint="eastAsia"/>
          <w:b/>
          <w:bCs/>
          <w:color w:val="000000" w:themeColor="text1"/>
          <w:sz w:val="32"/>
          <w:szCs w:val="32"/>
        </w:rPr>
        <w:t>（三）</w:t>
      </w:r>
      <w:bookmarkEnd w:id="4"/>
      <w:r>
        <w:rPr>
          <w:rFonts w:ascii="楷体" w:eastAsia="楷体" w:hAnsi="楷体" w:cs="楷体" w:hint="eastAsia"/>
          <w:b/>
          <w:bCs/>
          <w:color w:val="000000" w:themeColor="text1"/>
          <w:sz w:val="32"/>
          <w:szCs w:val="32"/>
        </w:rPr>
        <w:t>实施</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Times New Roman" w:eastAsia="仿宋_GB2312" w:hAnsi="Times New Roman" w:cs="Times New Roman" w:hint="eastAsia"/>
          <w:sz w:val="32"/>
          <w:szCs w:val="32"/>
        </w:rPr>
        <w:t>建设院校与项目合作方</w:t>
      </w:r>
      <w:r>
        <w:rPr>
          <w:rFonts w:ascii="仿宋_GB2312" w:eastAsia="仿宋_GB2312" w:hAnsi="仿宋_GB2312" w:cs="仿宋_GB2312" w:hint="eastAsia"/>
          <w:color w:val="000000" w:themeColor="text1"/>
          <w:sz w:val="32"/>
          <w:szCs w:val="32"/>
        </w:rPr>
        <w:t>签署共建协议，成立项目领导小组，明确权责与运行机制，</w:t>
      </w:r>
      <w:r>
        <w:rPr>
          <w:rFonts w:ascii="Times New Roman" w:eastAsia="仿宋_GB2312" w:hAnsi="Times New Roman" w:cs="Times New Roman" w:hint="eastAsia"/>
          <w:sz w:val="32"/>
          <w:szCs w:val="32"/>
        </w:rPr>
        <w:t>共同实施项目建设内容。</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建中心将对实施项目进行系统总结，汇总优秀示范案例，通过成果发布会、经验交流会等形式，通过</w:t>
      </w:r>
      <w:proofErr w:type="gramStart"/>
      <w:r>
        <w:rPr>
          <w:rFonts w:ascii="仿宋_GB2312" w:eastAsia="仿宋_GB2312" w:hAnsi="仿宋_GB2312" w:cs="仿宋_GB2312" w:hint="eastAsia"/>
          <w:color w:val="000000" w:themeColor="text1"/>
          <w:sz w:val="32"/>
          <w:szCs w:val="32"/>
        </w:rPr>
        <w:t>官网或官微宣传</w:t>
      </w:r>
      <w:proofErr w:type="gramEnd"/>
      <w:r>
        <w:rPr>
          <w:rFonts w:ascii="仿宋_GB2312" w:eastAsia="仿宋_GB2312" w:hAnsi="仿宋_GB2312" w:cs="仿宋_GB2312" w:hint="eastAsia"/>
          <w:color w:val="000000" w:themeColor="text1"/>
          <w:sz w:val="32"/>
          <w:szCs w:val="32"/>
        </w:rPr>
        <w:t>推广建设经验与模式，形成持续影响力。</w:t>
      </w:r>
    </w:p>
    <w:p w:rsidR="008B403C" w:rsidRDefault="0007770E">
      <w:pPr>
        <w:spacing w:after="0" w:line="560" w:lineRule="exact"/>
        <w:ind w:firstLineChars="200" w:firstLine="640"/>
        <w:jc w:val="both"/>
        <w:rPr>
          <w:rFonts w:ascii="黑体" w:eastAsia="黑体" w:hAnsi="黑体" w:cs="黑体"/>
          <w:color w:val="000000" w:themeColor="text1"/>
          <w:sz w:val="32"/>
          <w:szCs w:val="32"/>
        </w:rPr>
      </w:pPr>
      <w:bookmarkStart w:id="5" w:name="_Toc223706478"/>
      <w:r>
        <w:rPr>
          <w:rFonts w:ascii="黑体" w:eastAsia="黑体" w:hAnsi="黑体" w:cs="黑体" w:hint="eastAsia"/>
          <w:color w:val="000000" w:themeColor="text1"/>
          <w:sz w:val="32"/>
          <w:szCs w:val="32"/>
        </w:rPr>
        <w:t>五、申报条件</w:t>
      </w:r>
      <w:bookmarkEnd w:id="5"/>
    </w:p>
    <w:p w:rsidR="008B403C" w:rsidRDefault="0007770E">
      <w:pPr>
        <w:spacing w:after="0" w:line="560" w:lineRule="exact"/>
        <w:ind w:firstLineChars="200" w:firstLine="640"/>
        <w:rPr>
          <w:rFonts w:ascii="Times New Roman" w:eastAsia="仿宋_GB2312" w:hAnsi="Times New Roman" w:cs="Times New Roman"/>
          <w:sz w:val="32"/>
          <w:szCs w:val="32"/>
        </w:rPr>
      </w:pPr>
      <w:bookmarkStart w:id="6" w:name="_Toc223706479"/>
      <w:r>
        <w:rPr>
          <w:rFonts w:ascii="Times New Roman" w:eastAsia="仿宋_GB2312" w:hAnsi="Times New Roman" w:cs="Times New Roman" w:hint="eastAsia"/>
          <w:sz w:val="32"/>
          <w:szCs w:val="32"/>
        </w:rPr>
        <w:t>具备新商科相关专业基础或明确建设规划，对开展产教融合、服务区域数字经济发展具有清晰定位和积极意向的普通本科高校与职业院校均可申报。具体包括：</w:t>
      </w:r>
    </w:p>
    <w:p w:rsidR="008B403C" w:rsidRDefault="0007770E">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（一）学校发展定位明确，重视新商科与数字经济相关领域建设。</w:t>
      </w:r>
    </w:p>
    <w:p w:rsidR="008B403C" w:rsidRDefault="0007770E" w:rsidP="007778D4">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（二）已开设或拟开设经济类和管理类专业或专业群。</w:t>
      </w:r>
    </w:p>
    <w:p w:rsidR="008B403C" w:rsidRDefault="0007770E">
      <w:pPr>
        <w:spacing w:after="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（三）具备</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定产教融合基础，与行业企业存在合作关系或合作意向。</w:t>
      </w:r>
    </w:p>
    <w:p w:rsidR="008B403C" w:rsidRDefault="0007770E" w:rsidP="00BB3AE6">
      <w:pPr>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（四）能够为项目建设提供必要的经费、场地及师资保障。</w:t>
      </w:r>
    </w:p>
    <w:p w:rsidR="008B403C" w:rsidRDefault="0007770E">
      <w:pPr>
        <w:spacing w:after="0" w:line="560" w:lineRule="exact"/>
        <w:ind w:firstLineChars="200" w:firstLine="640"/>
        <w:jc w:val="both"/>
        <w:rPr>
          <w:rFonts w:ascii="黑体" w:eastAsia="黑体" w:hAnsi="黑体" w:cs="黑体"/>
          <w:color w:val="000000" w:themeColor="text1"/>
          <w:sz w:val="32"/>
          <w:szCs w:val="32"/>
        </w:rPr>
      </w:pPr>
      <w:bookmarkStart w:id="7" w:name="_Toc223706484"/>
      <w:bookmarkEnd w:id="6"/>
      <w:r>
        <w:rPr>
          <w:rFonts w:ascii="黑体" w:eastAsia="黑体" w:hAnsi="黑体" w:cs="黑体" w:hint="eastAsia"/>
          <w:color w:val="000000" w:themeColor="text1"/>
          <w:sz w:val="32"/>
          <w:szCs w:val="32"/>
        </w:rPr>
        <w:lastRenderedPageBreak/>
        <w:t>六、支持与保障措施</w:t>
      </w:r>
      <w:bookmarkEnd w:id="7"/>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为保障项目高质量实施，将构建全方位的支持体系：</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bookmarkStart w:id="8" w:name="_Toc223706485"/>
      <w:r>
        <w:rPr>
          <w:rFonts w:ascii="楷体" w:eastAsia="楷体" w:hAnsi="楷体" w:cs="楷体" w:hint="eastAsia"/>
          <w:b/>
          <w:bCs/>
          <w:color w:val="000000" w:themeColor="text1"/>
          <w:sz w:val="32"/>
          <w:szCs w:val="32"/>
        </w:rPr>
        <w:t>（一）政策标准与机制引领</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联合行业主管部门，深度推动行业新标准、职业资格认证与专业教学大纲的有机融合。探索建立跨校学分互认与多元化学习成果评价机制，构建纵向衔接、横向贯通的数智人才培养规范，增强人才培养的行业适应性与前瞻性。</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（二）产业核心资源深度注入</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依托合作企业技术优势，导入工业级AI算法体系、真实商业项目案例及模拟仿真平台资源。通过校企共建共享，打造高水平课程资源库、实</w:t>
      </w:r>
      <w:proofErr w:type="gramStart"/>
      <w:r>
        <w:rPr>
          <w:rFonts w:ascii="仿宋_GB2312" w:eastAsia="仿宋_GB2312" w:hAnsi="仿宋_GB2312" w:cs="仿宋_GB2312" w:hint="eastAsia"/>
          <w:color w:val="000000" w:themeColor="text1"/>
          <w:sz w:val="32"/>
          <w:szCs w:val="32"/>
        </w:rPr>
        <w:t>训项目</w:t>
      </w:r>
      <w:proofErr w:type="gramEnd"/>
      <w:r>
        <w:rPr>
          <w:rFonts w:ascii="仿宋_GB2312" w:eastAsia="仿宋_GB2312" w:hAnsi="仿宋_GB2312" w:cs="仿宋_GB2312" w:hint="eastAsia"/>
          <w:color w:val="000000" w:themeColor="text1"/>
          <w:sz w:val="32"/>
          <w:szCs w:val="32"/>
        </w:rPr>
        <w:t>库与专家智库，实现产业前沿技术向教学资源的快速转化。</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（三）全流程专家智库支撑</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组建由教育专家、产业领军人物及资深技术顾问构成的项目专家委员会。提供从专业顶层设计、课程开发指导到建设成果验收评估的全过程、专业化咨询服务，确保项目建设路径科学、成效显著。</w:t>
      </w:r>
    </w:p>
    <w:p w:rsidR="008B403C" w:rsidRDefault="0007770E">
      <w:pPr>
        <w:spacing w:after="0" w:line="560" w:lineRule="exact"/>
        <w:ind w:firstLineChars="200" w:firstLine="643"/>
        <w:jc w:val="both"/>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（四）平台协作与成果推广</w:t>
      </w:r>
    </w:p>
    <w:p w:rsidR="008B403C" w:rsidRDefault="0007770E">
      <w:pPr>
        <w:spacing w:after="0" w:line="560"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依托国际合作渠道，为院校提供海外研修、国际标准输出及学术交流机会。同时，发挥项目在区域经济中的辐射作用，为地方政府</w:t>
      </w:r>
      <w:proofErr w:type="gramStart"/>
      <w:r>
        <w:rPr>
          <w:rFonts w:ascii="仿宋_GB2312" w:eastAsia="仿宋_GB2312" w:hAnsi="仿宋_GB2312" w:cs="仿宋_GB2312" w:hint="eastAsia"/>
          <w:color w:val="000000" w:themeColor="text1"/>
          <w:sz w:val="32"/>
          <w:szCs w:val="32"/>
        </w:rPr>
        <w:t>提供数智化</w:t>
      </w:r>
      <w:proofErr w:type="gramEnd"/>
      <w:r>
        <w:rPr>
          <w:rFonts w:ascii="仿宋_GB2312" w:eastAsia="仿宋_GB2312" w:hAnsi="仿宋_GB2312" w:cs="仿宋_GB2312" w:hint="eastAsia"/>
          <w:color w:val="000000" w:themeColor="text1"/>
          <w:sz w:val="32"/>
          <w:szCs w:val="32"/>
        </w:rPr>
        <w:t>规划咨询与技术验证支持，构建“学院—城市—场景—产业”的产教融合协同进化闭环。</w:t>
      </w:r>
      <w:bookmarkEnd w:id="8"/>
    </w:p>
    <w:sectPr w:rsidR="008B403C">
      <w:footerReference w:type="default" r:id="rId8"/>
      <w:pgSz w:w="11906" w:h="16838"/>
      <w:pgMar w:top="1440" w:right="1803" w:bottom="1474" w:left="180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EF7" w:rsidRDefault="00CC1EF7">
      <w:pPr>
        <w:spacing w:line="240" w:lineRule="auto"/>
      </w:pPr>
      <w:r>
        <w:separator/>
      </w:r>
    </w:p>
  </w:endnote>
  <w:endnote w:type="continuationSeparator" w:id="0">
    <w:p w:rsidR="00CC1EF7" w:rsidRDefault="00CC1E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3F52589C-6DAC-4176-8CFD-263C300AD218}"/>
  </w:font>
  <w:font w:name="方正小标宋简体">
    <w:panose1 w:val="03000509000000000000"/>
    <w:charset w:val="86"/>
    <w:family w:val="script"/>
    <w:pitch w:val="fixed"/>
    <w:sig w:usb0="00000001" w:usb1="080E0000" w:usb2="00000010" w:usb3="00000000" w:csb0="00040000" w:csb1="00000000"/>
    <w:embedRegular r:id="rId2" w:subsetted="1" w:fontKey="{EDA2D6EE-D50D-44BE-BB77-2F88B16D2E60}"/>
  </w:font>
  <w:font w:name="仿宋_GB2312">
    <w:panose1 w:val="02010609030101010101"/>
    <w:charset w:val="86"/>
    <w:family w:val="modern"/>
    <w:pitch w:val="fixed"/>
    <w:sig w:usb0="00000001" w:usb1="080E0000" w:usb2="00000010" w:usb3="00000000" w:csb0="00040000" w:csb1="00000000"/>
    <w:embedRegular r:id="rId3" w:subsetted="1" w:fontKey="{28AFE70D-2A40-4D93-AD7A-EF90758298A2}"/>
  </w:font>
  <w:font w:name="楷体">
    <w:panose1 w:val="02010609060101010101"/>
    <w:charset w:val="86"/>
    <w:family w:val="modern"/>
    <w:pitch w:val="fixed"/>
    <w:sig w:usb0="800002BF" w:usb1="38CF7CFA" w:usb2="00000016" w:usb3="00000000" w:csb0="00040001" w:csb1="00000000"/>
    <w:embedBold r:id="rId4" w:subsetted="1" w:fontKey="{6948611C-4D0D-4C53-8BD4-A5D7D2B5C5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3C" w:rsidRDefault="0007770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B403C" w:rsidRDefault="0007770E">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541FB">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B403C" w:rsidRDefault="0007770E">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541FB">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EF7" w:rsidRDefault="00CC1EF7">
      <w:pPr>
        <w:spacing w:after="0"/>
      </w:pPr>
      <w:r>
        <w:separator/>
      </w:r>
    </w:p>
  </w:footnote>
  <w:footnote w:type="continuationSeparator" w:id="0">
    <w:p w:rsidR="00CC1EF7" w:rsidRDefault="00CC1EF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048"/>
    <w:rsid w:val="0007770E"/>
    <w:rsid w:val="003376B5"/>
    <w:rsid w:val="003F7AB8"/>
    <w:rsid w:val="004368E5"/>
    <w:rsid w:val="005D2147"/>
    <w:rsid w:val="005E1953"/>
    <w:rsid w:val="0060303E"/>
    <w:rsid w:val="006D1301"/>
    <w:rsid w:val="007778D4"/>
    <w:rsid w:val="007C0C85"/>
    <w:rsid w:val="008B403C"/>
    <w:rsid w:val="00B5531D"/>
    <w:rsid w:val="00BB3AE6"/>
    <w:rsid w:val="00C546B0"/>
    <w:rsid w:val="00CC1EF7"/>
    <w:rsid w:val="00D14048"/>
    <w:rsid w:val="00D95233"/>
    <w:rsid w:val="00DB2842"/>
    <w:rsid w:val="00DD01AE"/>
    <w:rsid w:val="00E1212E"/>
    <w:rsid w:val="00E37165"/>
    <w:rsid w:val="00F541FB"/>
    <w:rsid w:val="00F83EB3"/>
    <w:rsid w:val="00F9218B"/>
    <w:rsid w:val="061E2F6F"/>
    <w:rsid w:val="0F766813"/>
    <w:rsid w:val="14B35F82"/>
    <w:rsid w:val="1FCE4600"/>
    <w:rsid w:val="245D6B87"/>
    <w:rsid w:val="2A404072"/>
    <w:rsid w:val="3548237A"/>
    <w:rsid w:val="35684E2E"/>
    <w:rsid w:val="372B2510"/>
    <w:rsid w:val="37BB276F"/>
    <w:rsid w:val="38915EE4"/>
    <w:rsid w:val="40B55D7C"/>
    <w:rsid w:val="411A4D8A"/>
    <w:rsid w:val="4AC35735"/>
    <w:rsid w:val="5399428F"/>
    <w:rsid w:val="62FD011C"/>
    <w:rsid w:val="630A358C"/>
    <w:rsid w:val="6A6B0A90"/>
    <w:rsid w:val="6A9B00F2"/>
    <w:rsid w:val="713A428B"/>
    <w:rsid w:val="7A564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08E6D-1E39-4D0C-AE45-632F98ED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footer"/>
    <w:basedOn w:val="a"/>
    <w:uiPriority w:val="99"/>
    <w:unhideWhenUsed/>
    <w:qFormat/>
    <w:pPr>
      <w:tabs>
        <w:tab w:val="center" w:pos="4153"/>
        <w:tab w:val="right" w:pos="8306"/>
      </w:tabs>
      <w:snapToGrid w:val="0"/>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6">
    <w:name w:val="Subtitle"/>
    <w:basedOn w:val="a"/>
    <w:next w:val="a"/>
    <w:link w:val="Char0"/>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Title"/>
    <w:basedOn w:val="a"/>
    <w:next w:val="a"/>
    <w:link w:val="Char1"/>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8">
    <w:name w:val="annotation subject"/>
    <w:basedOn w:val="a3"/>
    <w:next w:val="a3"/>
    <w:link w:val="Char2"/>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1">
    <w:name w:val="标题 Char"/>
    <w:basedOn w:val="a0"/>
    <w:link w:val="a7"/>
    <w:uiPriority w:val="10"/>
    <w:qFormat/>
    <w:rPr>
      <w:rFonts w:asciiTheme="majorHAnsi" w:eastAsiaTheme="majorEastAsia" w:hAnsiTheme="majorHAnsi" w:cstheme="majorBidi"/>
      <w:spacing w:val="-10"/>
      <w:kern w:val="28"/>
      <w:sz w:val="56"/>
      <w:szCs w:val="56"/>
    </w:rPr>
  </w:style>
  <w:style w:type="character" w:customStyle="1" w:styleId="Char0">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a"/>
    <w:uiPriority w:val="29"/>
    <w:qFormat/>
    <w:rPr>
      <w:i/>
      <w:iCs/>
      <w:color w:val="404040" w:themeColor="text1" w:themeTint="BF"/>
    </w:rPr>
  </w:style>
  <w:style w:type="paragraph" w:styleId="ab">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c">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c"/>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
    <w:name w:val="批注文字 Char"/>
    <w:basedOn w:val="a0"/>
    <w:link w:val="a3"/>
    <w:uiPriority w:val="99"/>
    <w:semiHidden/>
    <w:qFormat/>
  </w:style>
  <w:style w:type="character" w:customStyle="1" w:styleId="Char2">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9333dd5d-28d0-4250-9f92-b0485e253e31</errorID>
      <errorWord>教育数智化</errorWord>
      <group>L1_Political</group>
      <groupName>政治性问题</groupName>
      <ability>L2_Keyword</ability>
      <abilityName>固定表述</abilityName>
      <candidateList>
        <item>教育数字化</item>
      </candidateList>
      <explain>词汇“教育数字化”在特定场景下为固定表述形式，请确认此处的“教育数智化”是否存在不当。</explain>
      <paraID>60EB5039</paraID>
      <start>72</start>
      <end>77</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6CA177D-E58F-4717-BBB8-35424E75F939}">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451</Words>
  <Characters>2574</Characters>
  <Application>Microsoft Office Word</Application>
  <DocSecurity>0</DocSecurity>
  <Lines>21</Lines>
  <Paragraphs>6</Paragraphs>
  <ScaleCrop>false</ScaleCrop>
  <Company>Microsoft</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 zhao</dc:creator>
  <cp:lastModifiedBy>admin-4</cp:lastModifiedBy>
  <cp:revision>13</cp:revision>
  <cp:lastPrinted>2026-04-21T01:47:00Z</cp:lastPrinted>
  <dcterms:created xsi:type="dcterms:W3CDTF">2026-03-06T08:33:00Z</dcterms:created>
  <dcterms:modified xsi:type="dcterms:W3CDTF">2026-04-22T08:41:00Z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eyJoZGlkIjoiMzg3MTdmZWE5ZWQ0MjQ1NGIzZWM5MmY0NjlkN2JlMjYiLCJ1c2VySWQiOiI0NjU3MzE5NjQifQ==</vt:lpwstr>
  </property>
  <property fmtid="{D5CDD505-2E9C-101B-9397-08002B2CF9AE}" pid="3" name="KSOProductBuildVer">
    <vt:lpwstr>2052-12.1.0.25865</vt:lpwstr>
  </property>
  <property fmtid="{D5CDD505-2E9C-101B-9397-08002B2CF9AE}" pid="4" name="ICV">
    <vt:lpwstr>8E6C816AEEB14DB0AD5F9502CEE53F58_13</vt:lpwstr>
  </property>
</Properties>
</file>